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521"/>
        <w:gridCol w:w="1731"/>
        <w:gridCol w:w="1699"/>
        <w:gridCol w:w="2975"/>
        <w:gridCol w:w="992"/>
        <w:gridCol w:w="992"/>
        <w:gridCol w:w="1044"/>
      </w:tblGrid>
      <w:tr w:rsidR="004636F0" w:rsidTr="001433F4">
        <w:trPr>
          <w:trHeight w:val="363"/>
        </w:trPr>
        <w:tc>
          <w:tcPr>
            <w:tcW w:w="2521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731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699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975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028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1433F4">
        <w:trPr>
          <w:trHeight w:val="363"/>
        </w:trPr>
        <w:tc>
          <w:tcPr>
            <w:tcW w:w="2521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31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99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975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44" w:type="dxa"/>
            <w:shd w:val="clear" w:color="auto" w:fill="9CC2E5" w:themeFill="accent1" w:themeFillTint="99"/>
          </w:tcPr>
          <w:p w:rsidR="00F3008F" w:rsidRPr="00A94876" w:rsidRDefault="00A377CD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F3008F" w:rsidTr="001433F4">
        <w:trPr>
          <w:trHeight w:val="363"/>
        </w:trPr>
        <w:tc>
          <w:tcPr>
            <w:tcW w:w="2521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31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99" w:type="dxa"/>
            <w:shd w:val="clear" w:color="auto" w:fill="auto"/>
          </w:tcPr>
          <w:p w:rsidR="00F3008F" w:rsidRPr="00F3008F" w:rsidRDefault="001433F4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75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E91B01">
              <w:rPr>
                <w:rFonts w:ascii="HGSｺﾞｼｯｸM" w:eastAsia="HGSｺﾞｼｯｸM" w:hint="eastAsia"/>
              </w:rPr>
              <w:t xml:space="preserve">　</w:t>
            </w:r>
            <w:bookmarkStart w:id="0" w:name="_GoBack"/>
            <w:bookmarkEnd w:id="0"/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1433F4">
        <w:trPr>
          <w:trHeight w:val="363"/>
        </w:trPr>
        <w:tc>
          <w:tcPr>
            <w:tcW w:w="2521" w:type="dxa"/>
            <w:shd w:val="clear" w:color="auto" w:fill="auto"/>
          </w:tcPr>
          <w:p w:rsidR="00F3008F" w:rsidRPr="00F3008F" w:rsidRDefault="00E91B01" w:rsidP="00F3008F">
            <w:pPr>
              <w:rPr>
                <w:rFonts w:ascii="HGSｺﾞｼｯｸM" w:eastAsia="HGSｺﾞｼｯｸM" w:hAnsi="ＭＳ Ｐゴシック"/>
              </w:rPr>
            </w:pPr>
            <w:r w:rsidRPr="00E91B01">
              <w:rPr>
                <w:rFonts w:ascii="HGSｺﾞｼｯｸM" w:eastAsia="HGSｺﾞｼｯｸM" w:hAnsi="ＭＳ Ｐゴシック" w:hint="eastAsia"/>
              </w:rPr>
              <w:t>ニボルマブ</w:t>
            </w:r>
            <w:r w:rsidR="00F3008F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31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  <w:vertAlign w:val="superscript"/>
              </w:rPr>
            </w:pPr>
            <w:r w:rsidRPr="00F3008F">
              <w:rPr>
                <w:rFonts w:ascii="HGSｺﾞｼｯｸM" w:eastAsia="HGSｺﾞｼｯｸM" w:hint="eastAsia"/>
              </w:rPr>
              <w:t>240mg/body</w:t>
            </w:r>
          </w:p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99" w:type="dxa"/>
            <w:shd w:val="clear" w:color="auto" w:fill="auto"/>
          </w:tcPr>
          <w:p w:rsidR="00F3008F" w:rsidRPr="00F3008F" w:rsidRDefault="001433F4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75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1433F4">
        <w:trPr>
          <w:trHeight w:val="363"/>
        </w:trPr>
        <w:tc>
          <w:tcPr>
            <w:tcW w:w="2521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31" w:type="dxa"/>
          </w:tcPr>
          <w:p w:rsidR="00F3008F" w:rsidRPr="00F3008F" w:rsidRDefault="00266CF9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="00F3008F" w:rsidRPr="00F3008F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699" w:type="dxa"/>
          </w:tcPr>
          <w:p w:rsidR="00F3008F" w:rsidRPr="00F3008F" w:rsidRDefault="001433F4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75" w:type="dxa"/>
          </w:tcPr>
          <w:p w:rsidR="00F3008F" w:rsidRPr="00F3008F" w:rsidRDefault="00F3008F" w:rsidP="00266CF9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</w:t>
            </w:r>
            <w:r w:rsidR="00266CF9">
              <w:rPr>
                <w:rFonts w:ascii="HGSｺﾞｼｯｸM" w:eastAsia="HGSｺﾞｼｯｸM" w:hint="eastAsia"/>
              </w:rPr>
              <w:t>番　30分かけて</w:t>
            </w:r>
          </w:p>
        </w:tc>
        <w:tc>
          <w:tcPr>
            <w:tcW w:w="992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  <w:tr w:rsidR="002E2901" w:rsidTr="001433F4">
        <w:trPr>
          <w:trHeight w:val="363"/>
        </w:trPr>
        <w:tc>
          <w:tcPr>
            <w:tcW w:w="2521" w:type="dxa"/>
          </w:tcPr>
          <w:p w:rsidR="002E2901" w:rsidRPr="00F3008F" w:rsidRDefault="00E91B01" w:rsidP="002E2901">
            <w:pPr>
              <w:rPr>
                <w:rFonts w:ascii="HGSｺﾞｼｯｸM" w:eastAsia="HGSｺﾞｼｯｸM" w:hAnsi="ＭＳ Ｐゴシック"/>
              </w:rPr>
            </w:pPr>
            <w:r>
              <w:rPr>
                <w:rFonts w:ascii="HGSｺﾞｼｯｸM" w:eastAsia="HGSｺﾞｼｯｸM" w:hAnsi="ＭＳ Ｐゴシック" w:hint="eastAsia"/>
              </w:rPr>
              <w:t>イピリムマブ</w:t>
            </w:r>
            <w:r w:rsidR="002E2901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2E2901" w:rsidRPr="00F3008F" w:rsidRDefault="002E2901" w:rsidP="002E2901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31" w:type="dxa"/>
          </w:tcPr>
          <w:p w:rsidR="002E2901" w:rsidRPr="00F3008F" w:rsidRDefault="002E2901" w:rsidP="002E2901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Pr="00F3008F">
              <w:rPr>
                <w:rFonts w:ascii="HGSｺﾞｼｯｸM" w:eastAsia="HGSｺﾞｼｯｸM" w:hint="eastAsia"/>
              </w:rPr>
              <w:t>mg/</w:t>
            </w:r>
            <w:r>
              <w:rPr>
                <w:rFonts w:ascii="HGSｺﾞｼｯｸM" w:eastAsia="HGSｺﾞｼｯｸM"/>
              </w:rPr>
              <w:t>kg</w:t>
            </w:r>
          </w:p>
          <w:p w:rsidR="002E2901" w:rsidRPr="00F3008F" w:rsidRDefault="002E2901" w:rsidP="002E2901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99" w:type="dxa"/>
          </w:tcPr>
          <w:p w:rsidR="002E2901" w:rsidRPr="00F3008F" w:rsidRDefault="001433F4" w:rsidP="002E290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75" w:type="dxa"/>
          </w:tcPr>
          <w:p w:rsidR="002E2901" w:rsidRDefault="002E2901" w:rsidP="002E290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2E2901" w:rsidRPr="00F3008F" w:rsidRDefault="002E2901" w:rsidP="002E290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92" w:type="dxa"/>
          </w:tcPr>
          <w:p w:rsidR="002E2901" w:rsidRPr="00F3008F" w:rsidRDefault="002E2901" w:rsidP="002E2901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</w:tcPr>
          <w:p w:rsidR="002E2901" w:rsidRPr="00F3008F" w:rsidRDefault="002E2901" w:rsidP="002E2901">
            <w:pPr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2E2901" w:rsidRPr="00F3008F" w:rsidRDefault="002E2901" w:rsidP="002E2901">
            <w:pPr>
              <w:rPr>
                <w:rFonts w:ascii="HGSｺﾞｼｯｸM" w:eastAsia="HGSｺﾞｼｯｸM"/>
              </w:rPr>
            </w:pPr>
          </w:p>
        </w:tc>
      </w:tr>
      <w:tr w:rsidR="002E2901" w:rsidTr="001433F4">
        <w:trPr>
          <w:trHeight w:val="363"/>
        </w:trPr>
        <w:tc>
          <w:tcPr>
            <w:tcW w:w="2521" w:type="dxa"/>
          </w:tcPr>
          <w:p w:rsidR="002E2901" w:rsidRPr="00F3008F" w:rsidRDefault="002E2901" w:rsidP="002E2901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731" w:type="dxa"/>
          </w:tcPr>
          <w:p w:rsidR="002E2901" w:rsidRPr="00F3008F" w:rsidRDefault="002E2901" w:rsidP="002E2901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699" w:type="dxa"/>
          </w:tcPr>
          <w:p w:rsidR="002E2901" w:rsidRPr="00F3008F" w:rsidRDefault="001433F4" w:rsidP="002E290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975" w:type="dxa"/>
          </w:tcPr>
          <w:p w:rsidR="002E2901" w:rsidRPr="00F3008F" w:rsidRDefault="002E2901" w:rsidP="002E2901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  <w:r>
              <w:rPr>
                <w:rFonts w:ascii="HGSｺﾞｼｯｸM" w:eastAsia="HGSｺﾞｼｯｸM"/>
              </w:rPr>
              <w:t xml:space="preserve">　</w:t>
            </w:r>
            <w:r w:rsidRPr="00F3008F">
              <w:rPr>
                <w:rFonts w:ascii="HGSｺﾞｼｯｸM" w:eastAsia="HGSｺﾞｼｯｸM" w:hint="eastAsia"/>
              </w:rPr>
              <w:t>流しで</w:t>
            </w:r>
          </w:p>
        </w:tc>
        <w:tc>
          <w:tcPr>
            <w:tcW w:w="992" w:type="dxa"/>
          </w:tcPr>
          <w:p w:rsidR="002E2901" w:rsidRPr="00F3008F" w:rsidRDefault="002E2901" w:rsidP="002E2901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</w:tcPr>
          <w:p w:rsidR="002E2901" w:rsidRPr="00F3008F" w:rsidRDefault="002E2901" w:rsidP="002E2901">
            <w:pPr>
              <w:rPr>
                <w:rFonts w:ascii="HGSｺﾞｼｯｸM" w:eastAsia="HGSｺﾞｼｯｸM"/>
              </w:rPr>
            </w:pPr>
          </w:p>
        </w:tc>
        <w:tc>
          <w:tcPr>
            <w:tcW w:w="1044" w:type="dxa"/>
          </w:tcPr>
          <w:p w:rsidR="002E2901" w:rsidRPr="00F3008F" w:rsidRDefault="002E2901" w:rsidP="002E2901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CC4358">
        <w:rPr>
          <w:rFonts w:ascii="HGSｺﾞｼｯｸM" w:eastAsia="HGSｺﾞｼｯｸM"/>
          <w:u w:val="single"/>
        </w:rPr>
        <w:t>06</w:t>
      </w:r>
      <w:r w:rsidR="004317B7">
        <w:rPr>
          <w:rFonts w:ascii="HGSｺﾞｼｯｸM" w:eastAsia="HGSｺﾞｼｯｸM"/>
          <w:u w:val="single"/>
        </w:rPr>
        <w:t>.</w:t>
      </w:r>
      <w:r w:rsidR="001433F4">
        <w:rPr>
          <w:rFonts w:ascii="HGSｺﾞｼｯｸM" w:eastAsia="HGSｺﾞｼｯｸM" w:hint="eastAsia"/>
          <w:u w:val="single"/>
        </w:rPr>
        <w:t xml:space="preserve"> </w:t>
      </w:r>
      <w:r w:rsidR="00CC4358">
        <w:rPr>
          <w:rFonts w:ascii="HGSｺﾞｼｯｸM" w:eastAsia="HGSｺﾞｼｯｸM" w:hint="eastAsia"/>
          <w:u w:val="single"/>
        </w:rPr>
        <w:t>泌尿器科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1433F4">
        <w:rPr>
          <w:rFonts w:ascii="HGSｺﾞｼｯｸM" w:eastAsia="HGSｺﾞｼｯｸM" w:hint="eastAsia"/>
          <w:u w:val="single"/>
        </w:rPr>
        <w:t xml:space="preserve">　</w:t>
      </w:r>
      <w:r w:rsidR="001433F4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4317B7">
        <w:rPr>
          <w:rFonts w:ascii="HGSｺﾞｼｯｸM" w:eastAsia="HGSｺﾞｼｯｸM" w:hint="eastAsia"/>
          <w:u w:val="single"/>
        </w:rPr>
        <w:t>-</w:t>
      </w:r>
      <w:r w:rsidR="001433F4">
        <w:rPr>
          <w:rFonts w:ascii="HGSｺﾞｼｯｸM" w:eastAsia="HGSｺﾞｼｯｸM" w:hint="eastAsia"/>
          <w:u w:val="single"/>
        </w:rPr>
        <w:t xml:space="preserve">　</w:t>
      </w:r>
      <w:r w:rsidR="001433F4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266CF9" w:rsidRPr="00266CF9">
        <w:rPr>
          <w:rFonts w:ascii="HGSｺﾞｼｯｸM" w:eastAsia="HGSｺﾞｼｯｸM"/>
          <w:u w:val="single"/>
        </w:rPr>
        <w:t>42.</w:t>
      </w:r>
      <w:r w:rsidR="00266CF9">
        <w:rPr>
          <w:rFonts w:ascii="HGSｺﾞｼｯｸM" w:eastAsia="HGSｺﾞｼｯｸM"/>
          <w:u w:val="single"/>
        </w:rPr>
        <w:t xml:space="preserve"> </w:t>
      </w:r>
      <w:r w:rsidR="00266CF9" w:rsidRPr="00266CF9">
        <w:rPr>
          <w:rFonts w:ascii="HGSｺﾞｼｯｸM" w:eastAsia="HGSｺﾞｼｯｸM"/>
          <w:u w:val="single"/>
        </w:rPr>
        <w:t>Nivo+Ipi(腎)</w:t>
      </w:r>
      <w:r w:rsidR="000F33CA">
        <w:rPr>
          <w:rFonts w:ascii="HGSｺﾞｼｯｸM" w:eastAsia="HGSｺﾞｼｯｸM" w:hint="eastAsia"/>
          <w:u w:val="single"/>
        </w:rPr>
        <w:t xml:space="preserve">　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A377CD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1166522</wp:posOffset>
                </wp:positionH>
                <wp:positionV relativeFrom="paragraph">
                  <wp:posOffset>5660</wp:posOffset>
                </wp:positionV>
                <wp:extent cx="4531995" cy="62801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62801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  <w:p w:rsidR="00266CF9" w:rsidRPr="004636F0" w:rsidRDefault="00266CF9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266CF9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連続実施可能回数：</w:t>
                            </w:r>
                            <w:r w:rsidRPr="00266CF9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4回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1.85pt;margin-top:.45pt;width:356.85pt;height:49.4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KCTbQIAAMYEAAAOAAAAZHJzL2Uyb0RvYy54bWysVE2O0zAU3iNxB8t7JkmnHWaipqNRR4OQ&#10;BmbEwAFcx2kCjm2e3aZl2W64ARdAQuICbLhNLsKzk4YCEgvEJvKz3/e97/1lermpJVkLsJVWGU1O&#10;YkqE4jqv1DKjb17fPDmnxDqmcia1EhndCksvZ48fTRuTipEutcwFECRRNm1MRkvnTBpFlpeiZvZE&#10;G6HwsdBQM4cmLKMcWIPstYxGcXwWNRpyA5oLa/H2unuks8BfFIK7u6KwwhGZUdTmwhfCd+G/0WzK&#10;0iUwU1a8l8H+QUXNKoVBB6pr5hhZQfUHVV1x0FYX7oTrOtJFUXERcsBskvi3bB5KZkTIBYtjzVAm&#10;+/9o+cv1PZAqz+gonlCiWI1Nandf2/33dv+x3X1rd1/a3ed2/4kkY1+txtgUQQ/mHny+1txq/s4S&#10;peclU0txBaCbUrAcNSbeP/oF4A2LULJoXugcQ7GV06FwmwJqT4glIZvQn+3QH7FxhOPleHKaXFyg&#10;TI5vZ6PzOJmEECw9oA1Y90zomvhDRgH7H9jZ+tY6r4alBxcfTOmbSsowA1KRBiVPzp9OAmJ4QohU&#10;3hlV9CSHLLpqWLeVwjtI9UoUWMsg319YDsvFXALpBg43AkfwMHaBFwHesUAVAzaJ49MgISyB8Pg1&#10;w/GVrivo4B5EhRkfsHEP/HtccQCF2Fq5AV+ztxqGtvWZ+XTdZrHpu7/Q+RY7CLpbJlx+PJQaPlDS&#10;4CJl1L5fMRCUyOcKp+AiGY/95h0bcGwsjg2mOFJl1FHSHeeuK97KQLUsMVLSt+cKJ6eoQlO9wE5V&#10;P2+4LKHX/WL7bTy2g9fP38/sBwAAAP//AwBQSwMEFAAGAAgAAAAhACGdhK7bAAAABwEAAA8AAABk&#10;cnMvZG93bnJldi54bWxMjsFOwzAQRO9I/IO1SNyoU0A0SeNUCIkL6gFCoddNbJIUex3FThv+nuVU&#10;jk8zmnnFZnZWHM0Yek8KlosEhKHG655aBbv355sURIhIGq0no+DHBNiUlxcF5tqf6M0cq9gKHqGQ&#10;o4IuxiGXMjSdcRgWfjDE2ZcfHUbGsZV6xBOPOytvk+RBOuyJHzoczFNnmu9qcgrw47VqD/vsYOvt&#10;9CJ1v11+7oJS11fz4xpENHM8l+FPn9WhZKfaT6SDsMzp3YqrCjIQHKfZ6h5EzZilIMtC/vcvfwEA&#10;AP//AwBQSwECLQAUAAYACAAAACEAtoM4kv4AAADhAQAAEwAAAAAAAAAAAAAAAAAAAAAAW0NvbnRl&#10;bnRfVHlwZXNdLnhtbFBLAQItABQABgAIAAAAIQA4/SH/1gAAAJQBAAALAAAAAAAAAAAAAAAAAC8B&#10;AABfcmVscy8ucmVsc1BLAQItABQABgAIAAAAIQDlDKCTbQIAAMYEAAAOAAAAAAAAAAAAAAAAAC4C&#10;AABkcnMvZTJvRG9jLnhtbFBLAQItABQABgAIAAAAIQAhnYSu2wAAAAcBAAAPAAAAAAAAAAAAAAAA&#10;AMcEAABkcnMvZG93bnJldi54bWxQSwUGAAAAAAQABADzAAAAzwUAAAAA&#10;" o:allowincell="f" filled="f" stroked="f" strokeweight="1.25pt">
                <v:textbox inset=",7.2pt,,7.2pt">
                  <w:txbxContent>
                    <w:p w:rsid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</w:p>
                    <w:p w:rsidR="00266CF9" w:rsidRPr="004636F0" w:rsidRDefault="00266CF9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266CF9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連続実施可能回数：</w:t>
                      </w:r>
                      <w:r w:rsidRPr="00266CF9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4回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F33CA"/>
    <w:rsid w:val="001433F4"/>
    <w:rsid w:val="00266CF9"/>
    <w:rsid w:val="002E2901"/>
    <w:rsid w:val="00427871"/>
    <w:rsid w:val="004317B7"/>
    <w:rsid w:val="004636F0"/>
    <w:rsid w:val="00A377CD"/>
    <w:rsid w:val="00A94876"/>
    <w:rsid w:val="00CC4358"/>
    <w:rsid w:val="00D74767"/>
    <w:rsid w:val="00E91B01"/>
    <w:rsid w:val="00F3008F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07C2F5F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7</cp:revision>
  <dcterms:created xsi:type="dcterms:W3CDTF">2022-01-17T02:07:00Z</dcterms:created>
  <dcterms:modified xsi:type="dcterms:W3CDTF">2022-04-27T09:34:00Z</dcterms:modified>
</cp:coreProperties>
</file>